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2" w:leftChars="186" w:right="1105" w:hanging="283" w:hangingChars="118"/>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hint="default" w:ascii="Arial" w:hAnsi="Arial" w:cs="Arial"/>
          <w:sz w:val="24"/>
          <w:szCs w:val="24"/>
          <w:lang w:val="en-US" w:eastAsia="zh-CN"/>
        </w:rPr>
      </w:pPr>
      <w:r>
        <w:rPr>
          <w:rFonts w:hint="eastAsia" w:ascii="Arial" w:hAnsi="Arial" w:cs="Arial"/>
          <w:sz w:val="22"/>
          <w:szCs w:val="22"/>
        </w:rPr>
        <w:t>RZ-X</w:t>
      </w:r>
      <w:r>
        <w:rPr>
          <w:rFonts w:hint="eastAsia" w:ascii="Arial" w:hAnsi="Arial" w:cs="Arial"/>
          <w:sz w:val="22"/>
          <w:szCs w:val="22"/>
          <w:lang w:val="en-US" w:eastAsia="zh-CN"/>
        </w:rPr>
        <w:t>70; E</w:t>
      </w:r>
      <w:r>
        <w:rPr>
          <w:rFonts w:ascii="Arial" w:hAnsi="Arial" w:eastAsia="Times New Roman" w:cs="Arial"/>
          <w:sz w:val="24"/>
          <w:szCs w:val="24"/>
        </w:rPr>
        <w:t xml:space="preserve">; </w:t>
      </w:r>
      <w:r>
        <w:rPr>
          <w:rFonts w:hint="eastAsia" w:ascii="Arial" w:hAnsi="Arial" w:cs="Arial"/>
          <w:sz w:val="24"/>
          <w:szCs w:val="24"/>
          <w:lang w:eastAsia="zh-CN"/>
        </w:rPr>
        <w:t xml:space="preserve">Galaxy Blue </w:t>
      </w:r>
      <w:r>
        <w:rPr>
          <w:rFonts w:hint="eastAsia" w:ascii="Arial" w:hAnsi="Arial" w:cs="Arial"/>
          <w:sz w:val="24"/>
          <w:szCs w:val="24"/>
          <w:lang w:val="en-US"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bookmarkStart w:id="0" w:name="_GoBack"/>
      <w:bookmarkEnd w:id="0"/>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3625"/>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7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96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97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0</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Mica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5</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8-9</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35-40</w:t>
            </w:r>
          </w:p>
        </w:tc>
        <w:tc>
          <w:tcPr>
            <w:tcW w:w="29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5-10</w:t>
            </w:r>
          </w:p>
        </w:tc>
        <w:tc>
          <w:tcPr>
            <w:tcW w:w="296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ind w:firstLine="240" w:firstLineChars="100"/>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31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6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31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31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31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40" w:after="0" w:line="240" w:lineRule="auto"/>
        <w:ind w:right="-20"/>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val="en-US" w:eastAsia="zh-CN"/>
        </w:rPr>
        <w:t xml:space="preserve">Crystal Blue </w:t>
      </w:r>
      <w:r>
        <w:rPr>
          <w:rFonts w:hint="eastAsia" w:ascii="Arial" w:hAnsi="Arial" w:cs="Arial"/>
          <w:sz w:val="24"/>
          <w:szCs w:val="24"/>
          <w:lang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0.989</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40.10%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 xml:space="preserve">282.10 </w:t>
      </w:r>
      <w:r>
        <w:rPr>
          <w:rFonts w:hint="eastAsia" w:ascii="Arial" w:hAnsi="Arial" w:cs="Arial"/>
          <w:sz w:val="24"/>
          <w:szCs w:val="24"/>
          <w:lang w:eastAsia="zh-CN"/>
        </w:rPr>
        <w:t xml:space="preserve"> </w:t>
      </w:r>
      <w:r>
        <w:rPr>
          <w:rFonts w:ascii="Arial" w:hAnsi="Arial" w:eastAsia="Times New Roman" w:cs="Arial"/>
          <w:sz w:val="24"/>
          <w:szCs w:val="24"/>
        </w:rPr>
        <w:t>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VOC Actual (use state):</w:t>
      </w:r>
      <w:r>
        <w:rPr>
          <w:rFonts w:hint="eastAsia" w:ascii="Arial" w:hAnsi="Arial" w:cs="Arial"/>
          <w:sz w:val="24"/>
          <w:szCs w:val="24"/>
          <w:lang w:eastAsia="zh-CN"/>
        </w:rPr>
        <w:t xml:space="preserve"> </w:t>
      </w:r>
      <w:r>
        <w:rPr>
          <w:rFonts w:ascii="Arial" w:hAnsi="Arial" w:eastAsia="Times New Roman" w:cs="Arial"/>
          <w:sz w:val="24"/>
          <w:szCs w:val="24"/>
        </w:rPr>
        <w:t xml:space="preserve"> </w:t>
      </w:r>
      <w:r>
        <w:rPr>
          <w:rFonts w:hint="eastAsia" w:ascii="Arial" w:hAnsi="Arial" w:cs="Arial"/>
          <w:sz w:val="24"/>
          <w:szCs w:val="24"/>
          <w:lang w:val="en-US" w:eastAsia="zh-CN"/>
        </w:rPr>
        <w:t xml:space="preserve">282.10 </w:t>
      </w:r>
      <w:r>
        <w:rPr>
          <w:rFonts w:ascii="Arial" w:hAnsi="Arial" w:eastAsia="Times New Roman" w:cs="Arial"/>
          <w:sz w:val="24"/>
          <w:szCs w:val="24"/>
        </w:rPr>
        <w:t>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59.90%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59.90%</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00" w:lineRule="exact"/>
        <w:rPr>
          <w:rFonts w:ascii="Arial" w:hAnsi="Arial" w:cs="Arial"/>
          <w:sz w:val="24"/>
          <w:szCs w:val="24"/>
        </w:rPr>
      </w:pP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200" w:lineRule="exact"/>
      <w:ind w:right="-98"/>
      <w:rPr>
        <w:rFonts w:ascii="Arial" w:hAnsi="Arial" w:cs="Arial"/>
        <w:sz w:val="20"/>
        <w:szCs w:val="20"/>
      </w:rPr>
    </w:pPr>
    <w:r>
      <w:rPr>
        <w:rFonts w:ascii="Arial" w:hAnsi="Arial" w:cs="Arial"/>
        <w:sz w:val="20"/>
        <w:szCs w:val="20"/>
      </w:rPr>
      <w:t xml:space="preserve">       </w:t>
    </w:r>
  </w:p>
  <w:p>
    <w:pPr>
      <w:pStyle w:val="11"/>
      <w:spacing w:line="200" w:lineRule="exact"/>
      <w:ind w:right="-98" w:firstLine="400" w:firstLineChars="200"/>
      <w:rPr>
        <w:rFonts w:ascii="Arial" w:hAnsi="Arial" w:cs="Arial"/>
        <w:sz w:val="22"/>
        <w:szCs w:val="22"/>
      </w:rPr>
    </w:pPr>
    <w:r>
      <w:rPr>
        <w:rFonts w:ascii="Arial" w:hAnsi="Arial" w:cs="Arial"/>
        <w:sz w:val="20"/>
        <w:szCs w:val="20"/>
      </w:rPr>
      <w:t xml:space="preserve">  </w:t>
    </w:r>
    <w:r>
      <w:rPr>
        <w:rFonts w:ascii="Arial" w:hAnsi="Arial" w:cs="Arial"/>
        <w:sz w:val="22"/>
        <w:szCs w:val="22"/>
      </w:rPr>
      <w:t>Product Name</w:t>
    </w:r>
    <w:r>
      <w:rPr>
        <w:rFonts w:hint="eastAsia" w:ascii="Arial" w:hAnsi="Arial" w:cs="Arial"/>
        <w:sz w:val="22"/>
        <w:szCs w:val="22"/>
      </w:rPr>
      <w:t>：RZ-X</w:t>
    </w:r>
    <w:r>
      <w:rPr>
        <w:rFonts w:hint="eastAsia" w:ascii="Arial" w:hAnsi="Arial" w:cs="Arial"/>
        <w:sz w:val="22"/>
        <w:szCs w:val="22"/>
        <w:lang w:val="en-US" w:eastAsia="zh-CN"/>
      </w:rPr>
      <w:t>70 E</w:t>
    </w:r>
    <w:r>
      <w:rPr>
        <w:rFonts w:ascii="Arial" w:hAnsi="Arial" w:cs="Arial"/>
        <w:sz w:val="22"/>
        <w:szCs w:val="22"/>
      </w:rPr>
      <w:t xml:space="preserve"> </w:t>
    </w:r>
    <w:r>
      <w:rPr>
        <w:rFonts w:hint="eastAsia" w:ascii="Arial" w:hAnsi="Arial" w:cs="Arial"/>
        <w:sz w:val="22"/>
        <w:szCs w:val="22"/>
      </w:rPr>
      <w:t xml:space="preserve"> Galaxy Blue </w:t>
    </w:r>
    <w:r>
      <w:rPr>
        <w:rFonts w:ascii="Arial" w:hAnsi="Arial" w:cs="Arial"/>
        <w:sz w:val="22"/>
        <w:szCs w:val="22"/>
      </w:rPr>
      <w:t xml:space="preserve">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rPr>
      <w:t>RZ-X</w:t>
    </w:r>
    <w:r>
      <w:rPr>
        <w:rFonts w:hint="eastAsia" w:ascii="Arial" w:hAnsi="Arial" w:cs="Arial"/>
        <w:sz w:val="22"/>
        <w:szCs w:val="22"/>
        <w:lang w:val="en-US" w:eastAsia="zh-CN"/>
      </w:rPr>
      <w:t>70</w:t>
    </w:r>
    <w:r>
      <w:rPr>
        <w:rFonts w:ascii="Arial" w:hAnsi="Arial" w:cs="Arial"/>
        <w:sz w:val="22"/>
        <w:szCs w:val="22"/>
      </w:rPr>
      <w:t xml:space="preserve">   </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sz w:val="20"/>
        <w:szCs w:val="20"/>
      </w:rPr>
    </w:pP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4644E"/>
    <w:rsid w:val="001C0F20"/>
    <w:rsid w:val="002004A1"/>
    <w:rsid w:val="0027502D"/>
    <w:rsid w:val="00296BAF"/>
    <w:rsid w:val="002A7A3B"/>
    <w:rsid w:val="002B4BDE"/>
    <w:rsid w:val="00301EF9"/>
    <w:rsid w:val="00322DCE"/>
    <w:rsid w:val="003357AA"/>
    <w:rsid w:val="003E48FA"/>
    <w:rsid w:val="004318AD"/>
    <w:rsid w:val="00444C13"/>
    <w:rsid w:val="00451215"/>
    <w:rsid w:val="00504A10"/>
    <w:rsid w:val="00530800"/>
    <w:rsid w:val="0053448E"/>
    <w:rsid w:val="0059411F"/>
    <w:rsid w:val="005E2CF6"/>
    <w:rsid w:val="00755A48"/>
    <w:rsid w:val="008028A7"/>
    <w:rsid w:val="008659A4"/>
    <w:rsid w:val="00900859"/>
    <w:rsid w:val="009429A1"/>
    <w:rsid w:val="0097414C"/>
    <w:rsid w:val="00A31615"/>
    <w:rsid w:val="00A33FF1"/>
    <w:rsid w:val="00A657A8"/>
    <w:rsid w:val="00A71F6B"/>
    <w:rsid w:val="00B40D41"/>
    <w:rsid w:val="00B75AC9"/>
    <w:rsid w:val="00B96019"/>
    <w:rsid w:val="00C77B2E"/>
    <w:rsid w:val="00D16F94"/>
    <w:rsid w:val="00D44E7E"/>
    <w:rsid w:val="00E04D00"/>
    <w:rsid w:val="00E67BE8"/>
    <w:rsid w:val="00F54B8E"/>
    <w:rsid w:val="02B75DBE"/>
    <w:rsid w:val="1F823CD7"/>
    <w:rsid w:val="2A2074DC"/>
    <w:rsid w:val="2BB32497"/>
    <w:rsid w:val="308E51DA"/>
    <w:rsid w:val="332E7F8F"/>
    <w:rsid w:val="3BB956B3"/>
    <w:rsid w:val="3BC5227E"/>
    <w:rsid w:val="3DF27E74"/>
    <w:rsid w:val="3EF86A16"/>
    <w:rsid w:val="40BD3761"/>
    <w:rsid w:val="4A1F3926"/>
    <w:rsid w:val="4A8A2242"/>
    <w:rsid w:val="4D2425D8"/>
    <w:rsid w:val="543C3F35"/>
    <w:rsid w:val="599028FA"/>
    <w:rsid w:val="64AF663C"/>
    <w:rsid w:val="72AE5D0A"/>
    <w:rsid w:val="7412791C"/>
    <w:rsid w:val="74D57DDD"/>
    <w:rsid w:val="79AC25B9"/>
    <w:rsid w:val="7FEA1A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6F7EF-0C91-41B1-A3AA-CAAD2D0266A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2976</Words>
  <Characters>17662</Characters>
  <Lines>149</Lines>
  <Paragraphs>42</Paragraphs>
  <TotalTime>0</TotalTime>
  <ScaleCrop>false</ScaleCrop>
  <LinksUpToDate>false</LinksUpToDate>
  <CharactersWithSpaces>20462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2022-09-02T10:08:01Z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1DE0E132C9674DF18EA541A2A08745C7</vt:lpwstr>
  </property>
</Properties>
</file>